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9C78A4" w14:textId="6ED2BEDE" w:rsidR="00285559" w:rsidRPr="00285559" w:rsidRDefault="00285559" w:rsidP="00F15BB7">
      <w:pPr>
        <w:spacing w:line="360" w:lineRule="auto"/>
      </w:pPr>
      <w:bookmarkStart w:id="0" w:name="_GoBack"/>
      <w:bookmarkEnd w:id="0"/>
      <w:r>
        <w:rPr>
          <w:i/>
          <w:iCs/>
        </w:rPr>
        <w:t>Trump e noi</w:t>
      </w:r>
    </w:p>
    <w:p w14:paraId="178FFF84" w14:textId="77777777" w:rsidR="006B73D2" w:rsidRDefault="006B73D2" w:rsidP="00F15BB7">
      <w:pPr>
        <w:spacing w:line="360" w:lineRule="auto"/>
      </w:pPr>
    </w:p>
    <w:p w14:paraId="7F29794D" w14:textId="29373D21" w:rsidR="00F33545" w:rsidRDefault="00F33545" w:rsidP="00F15BB7">
      <w:pPr>
        <w:spacing w:line="360" w:lineRule="auto"/>
      </w:pPr>
      <w:r>
        <w:t xml:space="preserve">Muoversi all’interno delle rovine di un sistema non è agevole. </w:t>
      </w:r>
      <w:r w:rsidR="00CF3CEA">
        <w:t xml:space="preserve">Il fatto è che oggi in rovina non è soltanto il sistema internazionale, l’ordine che si presentava come “basato sulle regole”. Al contrario, si può assumere quella rovina come vertice prospettico per </w:t>
      </w:r>
      <w:r w:rsidR="007A48E5">
        <w:t xml:space="preserve">analizzare </w:t>
      </w:r>
      <w:r w:rsidR="00CF3CEA">
        <w:t xml:space="preserve">il disfacimento di una molteplicità di sistemi, che certo non dovevano essere particolarmente in salute. All’ombra del genocidio di Gaza, una regione cruciale per gli equilibri mondiali, il Medio Oriente, sembra aver perso ogni principio di ordine. Staccata dagli </w:t>
      </w:r>
      <w:r w:rsidR="00A11E60">
        <w:t>Stati Uniti</w:t>
      </w:r>
      <w:r w:rsidR="00CF3CEA">
        <w:t xml:space="preserve">, se non per la camicia di forza della NATO, l’Europa appare consegnata all’irrilevanza sotto il profilo della politica mondiale, irrigidita al suo interno dalla paura del declino e della stagnazione economica, amputata del suo “modello sociale”. </w:t>
      </w:r>
      <w:r w:rsidR="000962C0">
        <w:t xml:space="preserve">La sua ambizione a essere “forza di pace” si sgretola di fronte all’opzione per il riarmo e per la militarizzazione dell’economia, della politica e della società. </w:t>
      </w:r>
      <w:r w:rsidR="00CF3CEA">
        <w:t xml:space="preserve">Nel tempo di Trump, poi, la stessa democrazia liberale – ancora contrapposta all’“autocrazia” all’indomani dell’invasione russa dell’Ucraina </w:t>
      </w:r>
      <w:r w:rsidR="00EC2059">
        <w:t>–</w:t>
      </w:r>
      <w:r w:rsidR="00CF3CEA">
        <w:t xml:space="preserve"> </w:t>
      </w:r>
      <w:r w:rsidR="00EC2059">
        <w:t xml:space="preserve">impallidisce e si svuota di determinazioni materiali. Lo spettacolo della forza sembra essere dominante – si tratti di dazi, sottomarini nucleari, o rambo mascherati a caccia di migranti per le strade di Los Angeles. </w:t>
      </w:r>
    </w:p>
    <w:p w14:paraId="68713426" w14:textId="77777777" w:rsidR="008626E8" w:rsidRDefault="008626E8" w:rsidP="00F15BB7">
      <w:pPr>
        <w:spacing w:line="360" w:lineRule="auto"/>
      </w:pPr>
    </w:p>
    <w:p w14:paraId="14F19A47" w14:textId="15B45C42" w:rsidR="008626E8" w:rsidRDefault="000268FA" w:rsidP="00F15BB7">
      <w:pPr>
        <w:spacing w:line="360" w:lineRule="auto"/>
      </w:pPr>
      <w:r>
        <w:t xml:space="preserve">Proprio i dazi, del resto, ci mostrano che la situazione è ben lungi dall’essere stabile – che al contrario l’uso ricattatorio di questo strumento ha l’obiettivo di produrre una serie di </w:t>
      </w:r>
      <w:r>
        <w:rPr>
          <w:i/>
          <w:iCs/>
        </w:rPr>
        <w:t>shock</w:t>
      </w:r>
      <w:r>
        <w:t xml:space="preserve"> successivi che puntano a ridefinire le geografie e il regime di accumulazione del capitalismo statunitense e globale. Basti pensare all’“accordo” con l’Unione europea, che ha come corollario l’impegno a investimenti europei, in particolare in campo energetico, </w:t>
      </w:r>
      <w:r w:rsidR="00466077">
        <w:t xml:space="preserve">che, come ha dimostrato </w:t>
      </w:r>
      <w:r w:rsidR="000962C0">
        <w:t xml:space="preserve">ad esempio </w:t>
      </w:r>
      <w:r w:rsidR="00466077">
        <w:t xml:space="preserve">Paul Krugman, sono da diversi punti di vista non solo irrealistici, ma impossibili. Quando una clausola di questo genere viene inserita in un “accordo”, è evidente che si prepara il terreno per ulteriori forzature e ricatti. </w:t>
      </w:r>
      <w:r w:rsidR="00074935">
        <w:t xml:space="preserve">Instabili </w:t>
      </w:r>
      <w:r w:rsidR="007A48E5">
        <w:t xml:space="preserve">e provvisori </w:t>
      </w:r>
      <w:r w:rsidR="00074935">
        <w:t xml:space="preserve">appaiono molti degli accordi sui dazi siglati nelle ultime settimane, senza contare il fatto che è continuamente necessario adeguarli al fatto che le importazioni non riguardano solo beni di consumo ma anche le catene di fornitura di componentistica vitale per il residuo settore manifatturiero negli </w:t>
      </w:r>
      <w:r w:rsidR="00A11E60">
        <w:t>Stati Uniti</w:t>
      </w:r>
      <w:r w:rsidR="00074935">
        <w:t xml:space="preserve">. </w:t>
      </w:r>
    </w:p>
    <w:p w14:paraId="7D93F57C" w14:textId="77777777" w:rsidR="00E561F7" w:rsidRDefault="00E561F7" w:rsidP="00F15BB7">
      <w:pPr>
        <w:spacing w:line="360" w:lineRule="auto"/>
      </w:pPr>
    </w:p>
    <w:p w14:paraId="42DFC7D8" w14:textId="22F2E578" w:rsidR="00E561F7" w:rsidRDefault="00E561F7" w:rsidP="00F15BB7">
      <w:pPr>
        <w:spacing w:line="360" w:lineRule="auto"/>
      </w:pPr>
      <w:r>
        <w:t xml:space="preserve">È bene resistere alla tentazione di leggere nei dazi </w:t>
      </w:r>
      <w:r w:rsidR="00E4621D">
        <w:t>e nelle guerre commerciali</w:t>
      </w:r>
      <w:r>
        <w:t xml:space="preserve"> l’ennesima fine della “globalizzazione” e guardare piuttosto a questa costitutiva instabilità delle politiche dell’amministrazione </w:t>
      </w:r>
      <w:r w:rsidR="00E4621D">
        <w:t xml:space="preserve">Trump </w:t>
      </w:r>
      <w:r>
        <w:t xml:space="preserve">come allo strumento attraverso cui si </w:t>
      </w:r>
      <w:r w:rsidR="007A48E5">
        <w:t>mira</w:t>
      </w:r>
      <w:r>
        <w:t xml:space="preserve"> a scuotere i rapporti </w:t>
      </w:r>
      <w:r>
        <w:lastRenderedPageBreak/>
        <w:t xml:space="preserve">commerciali all’interno del mercato mondiale per ritagliare condizioni più favorevoli </w:t>
      </w:r>
      <w:r w:rsidR="00E4621D">
        <w:t xml:space="preserve">per il capitale statunitense. È comunque una trasformazione radicale rispetto agli ultimi decenni, in primo luogo perché le politiche di Trump – puntando a drenare risorse da tutto il mondo per affrontare l’insostenibile debito degli Stati Uniti e dunque rallentarne la crisi egemonica – determinano una accentuata </w:t>
      </w:r>
      <w:r w:rsidR="00E4621D">
        <w:rPr>
          <w:i/>
          <w:iCs/>
        </w:rPr>
        <w:t>nazionalizzazione</w:t>
      </w:r>
      <w:r w:rsidR="00E4621D">
        <w:t xml:space="preserve"> del capitale statunitense, che corre parallela ai processi di concentrazione accelerati negli anni della pandemia globale. E se queste</w:t>
      </w:r>
      <w:r w:rsidR="001777D1">
        <w:t xml:space="preserve"> stesse</w:t>
      </w:r>
      <w:r w:rsidR="00E4621D">
        <w:t xml:space="preserve"> politiche determinano un indebolimento del dollaro, minacciando quello che è stato in questi anni il principale strumento di gestione del debito, il Genius Act (la legge sulle criptovalute e sull</w:t>
      </w:r>
      <w:r w:rsidR="00440856">
        <w:t>e</w:t>
      </w:r>
      <w:r w:rsidR="00E4621D">
        <w:t xml:space="preserve"> </w:t>
      </w:r>
      <w:r w:rsidR="001777D1">
        <w:t>“</w:t>
      </w:r>
      <w:r w:rsidR="00E4621D">
        <w:t>stable</w:t>
      </w:r>
      <w:r w:rsidR="00440856">
        <w:t>coin</w:t>
      </w:r>
      <w:r w:rsidR="001777D1">
        <w:t>”</w:t>
      </w:r>
      <w:r w:rsidR="00440856">
        <w:t xml:space="preserve">) ha esattamente la funzione di controbilanciare quell’indebolimento. </w:t>
      </w:r>
    </w:p>
    <w:p w14:paraId="73DF3919" w14:textId="77777777" w:rsidR="00440856" w:rsidRDefault="00440856" w:rsidP="00F15BB7">
      <w:pPr>
        <w:spacing w:line="360" w:lineRule="auto"/>
      </w:pPr>
    </w:p>
    <w:p w14:paraId="37C689F6" w14:textId="0ECE8B7D" w:rsidR="00440856" w:rsidRPr="000962C0" w:rsidRDefault="00DF2BA0" w:rsidP="00F15BB7">
      <w:pPr>
        <w:spacing w:line="360" w:lineRule="auto"/>
      </w:pPr>
      <w:r>
        <w:t xml:space="preserve">La politica dei dazi di Trump si innesta all’interno di un quadro mondiale da tempo percorso da tendenze protezionistiche e da accentuata competizione in particolare all’interno delle tecnologie digitali e dei minerali più o meno “critici” necessari per il loro sviluppo. E tuttavia, all’interno di questo quadro </w:t>
      </w:r>
      <w:r w:rsidR="007A48E5">
        <w:t xml:space="preserve">quella politica </w:t>
      </w:r>
      <w:r>
        <w:t xml:space="preserve">introduce un tasso di nazionalismo </w:t>
      </w:r>
      <w:r w:rsidR="004E36BB">
        <w:t>“</w:t>
      </w:r>
      <w:r>
        <w:t>economico</w:t>
      </w:r>
      <w:r w:rsidR="004E36BB">
        <w:t>”</w:t>
      </w:r>
      <w:r>
        <w:t xml:space="preserve"> senza precedenti negli ultimi anni, secondo una logica che non può che essere al tempo stesso di nazionalismo </w:t>
      </w:r>
      <w:r>
        <w:rPr>
          <w:i/>
          <w:iCs/>
        </w:rPr>
        <w:t>politico</w:t>
      </w:r>
      <w:r>
        <w:t xml:space="preserve">. </w:t>
      </w:r>
      <w:r w:rsidR="00BE4D4E">
        <w:t xml:space="preserve">Oggettivamente, la combinazione di concentrazione di capitali e territorializzazione (per quanto ovviamente in parte retorica, ma questo significa “nazionalizzazione” del capitale statunitense) ripropone un elemento centrale analizzato dai teorici dell’imperialismo all’inizio del Novecento. </w:t>
      </w:r>
      <w:r w:rsidR="005962A5">
        <w:t xml:space="preserve">E mentre il nazionalismo si diffonde ulteriormente, ben al di là degli </w:t>
      </w:r>
      <w:r w:rsidR="00A11E60">
        <w:t>Stati Uniti</w:t>
      </w:r>
      <w:r w:rsidR="005962A5">
        <w:t xml:space="preserve">, la congiuntura che stiamo vivendo appare destinata a facilitare un’ulteriore proliferazione di guerre e regimi di guerra. </w:t>
      </w:r>
      <w:r w:rsidR="000962C0">
        <w:t xml:space="preserve">La “militarizzazione di Silicon Valley” di cui ha parlato il </w:t>
      </w:r>
      <w:r w:rsidR="000962C0">
        <w:rPr>
          <w:i/>
          <w:iCs/>
        </w:rPr>
        <w:t xml:space="preserve">New York Times </w:t>
      </w:r>
      <w:r w:rsidR="000962C0">
        <w:t>qualche giorno fa (4 agosto)</w:t>
      </w:r>
      <w:r w:rsidR="00056DE9">
        <w:t>, ovvero la torsione in chiave bellica dello sviluppo di tecnologie digitali, piattaforme e Intelligenza artificiale, è al tempo stesso un sintomo e un acceleratore di questa proliferazione.</w:t>
      </w:r>
    </w:p>
    <w:p w14:paraId="6DBF66B5" w14:textId="77777777" w:rsidR="00F15BB7" w:rsidRDefault="00F15BB7" w:rsidP="00F15BB7">
      <w:pPr>
        <w:spacing w:line="360" w:lineRule="auto"/>
      </w:pPr>
    </w:p>
    <w:p w14:paraId="43D0CF6D" w14:textId="42F53902" w:rsidR="00F15BB7" w:rsidRDefault="00F15BB7" w:rsidP="00F15BB7">
      <w:pPr>
        <w:spacing w:line="360" w:lineRule="auto"/>
      </w:pPr>
      <w:r>
        <w:t xml:space="preserve">Si tratta di un primo tentativo di analisi, necessariamente provvisorio e consapevole del fatto che la situazione è in costante mutamento. </w:t>
      </w:r>
      <w:r w:rsidR="003D55AA">
        <w:t xml:space="preserve">Mi sembra necessario, tuttavia, ragionare su questa base su alcuni dei limiti fondamentali che la politica di Trump incontra e indicare alcune delle sfide politiche fondamentali di fronte a cui ci troviamo nella nuova congiuntura. </w:t>
      </w:r>
      <w:r>
        <w:t xml:space="preserve">Sotto il profilo dei rapporti globali, </w:t>
      </w:r>
      <w:r w:rsidR="00AE7B8C">
        <w:t xml:space="preserve">è evidente che il limite fondamentale è rappresentato dalla Cina, non solo per la forza economica (e in prospettiva politica) di quest’ultima ma anche per la persistente interdipendenza tra l’economia statunitense e quella cinese. Se si prendono i due Paesi che Trump ha sanzionato con dazi “politici” – il Brasile (per l’incriminazione di Bolsonaro) e l’India (per l’acquisto di petrolio russo) – si può immaginare un asse con la Cina (certo più </w:t>
      </w:r>
      <w:r w:rsidR="00AE7B8C">
        <w:lastRenderedPageBreak/>
        <w:t xml:space="preserve">facile con il Brasile che con l’India) nella cornice dei BRICS e di una organizzazione internazionale come la SCO (Shanghai Cooperation Organization). Non si tratta qui di riproporre un’immagine edulcorata del “Sud globale” come “polo” o “blocco” alternativo all’Occidente, ma piuttosto di richiamare un’immagine realistica dei cambiamenti profondi che si sono ormai determinati nella distribuzione della ricchezza e del potere a livello mondiale. </w:t>
      </w:r>
      <w:r w:rsidR="00845DD0">
        <w:t>E da questo punto di vista, per riprendere un punto menzionato in precedenza, i processi e i progetti di de-dollarizzazione sono senz’altro cruciali.</w:t>
      </w:r>
    </w:p>
    <w:p w14:paraId="08D2A857" w14:textId="77777777" w:rsidR="00845DD0" w:rsidRDefault="00845DD0" w:rsidP="00F15BB7">
      <w:pPr>
        <w:spacing w:line="360" w:lineRule="auto"/>
      </w:pPr>
    </w:p>
    <w:p w14:paraId="1207DB3E" w14:textId="2B46827A" w:rsidR="00845DD0" w:rsidRDefault="00845DD0" w:rsidP="00F15BB7">
      <w:pPr>
        <w:spacing w:line="360" w:lineRule="auto"/>
      </w:pPr>
      <w:r>
        <w:t xml:space="preserve">Anche all’interno degli </w:t>
      </w:r>
      <w:r w:rsidR="00A11E60">
        <w:t>Stati Uniti</w:t>
      </w:r>
      <w:r>
        <w:t xml:space="preserve">, la politica di Trump sta già incontrando dei limiti. Come sul piano internazionale, lo spettacolo dei dazi (si pensi al “Liberation day”) ha contribuito a ingigantire l’impressione della forza statunitense, anche sul piano interno lo spettacolo della forza (le deportazioni, l’ICE, Alligator Alcatraz, la guardia nazionale a Los Angeles e Washington) ha prodotto un analogo effetto. Ma la resistenza è cresciuta in queste settimane, e resta da capire come saprà collegarsi ai processi di impoverimento di massa annunciati dalla “Big Beautiful Bill” in materia fiscale e di spesa. </w:t>
      </w:r>
      <w:r w:rsidR="0059563F">
        <w:t xml:space="preserve">Difficilmente la re-industrializzazione del Paese, che Trump immagina comunque collegata a un attacco radicale alle pratiche di libertà innervate all’interno dei territori metropolitani, potrà offrire la prospettiva di un futuro per cui valga la pena vivere e lottare. È anzi la rappresentazione più evidente della </w:t>
      </w:r>
      <w:r w:rsidR="0059563F">
        <w:rPr>
          <w:i/>
          <w:iCs/>
        </w:rPr>
        <w:t>miseria</w:t>
      </w:r>
      <w:r w:rsidR="0059563F">
        <w:t xml:space="preserve"> che caratterizza oggi l’“orizzonte di aspettativa” di nazionalismo e autoritarismo – non certo solo nella terra di Trump.</w:t>
      </w:r>
    </w:p>
    <w:p w14:paraId="36AF6205" w14:textId="77777777" w:rsidR="0012492D" w:rsidRDefault="0012492D" w:rsidP="00F15BB7">
      <w:pPr>
        <w:spacing w:line="360" w:lineRule="auto"/>
      </w:pPr>
    </w:p>
    <w:p w14:paraId="7CA10849" w14:textId="6DEF9258" w:rsidR="0012492D" w:rsidRDefault="0003408B" w:rsidP="00F15BB7">
      <w:pPr>
        <w:spacing w:line="360" w:lineRule="auto"/>
      </w:pPr>
      <w:r>
        <w:t>Non è forse così importante, almeno qui, definire la peculiarità di questa forma di nazionalismo e di autoritarismo, intervenendo nel vivace dibattito internazionale attorno a categorie come fascismo e neoliberalismo. Certo, l’orizzonte “promissorio” di quest’ultimo appare definitivamente esaurito (con poche eccezioni, come ad esempio l’Argentina di Milei).</w:t>
      </w:r>
      <w:r w:rsidR="00513640">
        <w:t xml:space="preserve"> </w:t>
      </w:r>
      <w:r w:rsidR="00261C41">
        <w:t xml:space="preserve">Processi di “fascistizzazione” sono comunque in corso in molte parti del mondo, e si combinano in vari modi (da analizzare nei diversi contesti) con la persistenza di politiche neoliberali. </w:t>
      </w:r>
      <w:r w:rsidR="00D72855">
        <w:t xml:space="preserve">I processi di concentrazione del capitale su base nazionale che si sono descritti a proposito degli </w:t>
      </w:r>
      <w:r w:rsidR="00A11E60">
        <w:t>Stati Uniti</w:t>
      </w:r>
      <w:r w:rsidR="00D72855">
        <w:t xml:space="preserve"> – e che si irradiano secondo una geometria variabile – costituiscono la base materiale di queste forme di ibridazione. E diffondono nel pianeta una “violenza atmosferica”, per riprendere un’immagine di Fanon, presaga di guerra. </w:t>
      </w:r>
    </w:p>
    <w:p w14:paraId="20785678" w14:textId="77777777" w:rsidR="00D72855" w:rsidRDefault="00D72855" w:rsidP="00F15BB7">
      <w:pPr>
        <w:spacing w:line="360" w:lineRule="auto"/>
      </w:pPr>
    </w:p>
    <w:p w14:paraId="07C8E7EF" w14:textId="4AD1D594" w:rsidR="00D72855" w:rsidRDefault="00D72855" w:rsidP="00F15BB7">
      <w:pPr>
        <w:spacing w:line="360" w:lineRule="auto"/>
      </w:pPr>
      <w:r>
        <w:t xml:space="preserve">Lottare contro autoritarismo e nazionalismo non può che essere oggi </w:t>
      </w:r>
      <w:r w:rsidR="00E60B0C">
        <w:t xml:space="preserve">anche per noi </w:t>
      </w:r>
      <w:r>
        <w:t xml:space="preserve">una priorità. </w:t>
      </w:r>
      <w:r w:rsidR="00E60B0C">
        <w:t xml:space="preserve">E questa lotta non può che essere </w:t>
      </w:r>
      <w:r w:rsidR="00E60B0C">
        <w:rPr>
          <w:i/>
          <w:iCs/>
        </w:rPr>
        <w:t>contro la guerra</w:t>
      </w:r>
      <w:r w:rsidR="00E60B0C">
        <w:t xml:space="preserve">, contro la proliferazione di regimi </w:t>
      </w:r>
      <w:r w:rsidR="00E60B0C">
        <w:lastRenderedPageBreak/>
        <w:t xml:space="preserve">di guerra che dell’autoritarismo e del nazionalismo costituiscono la cifra d’insieme. </w:t>
      </w:r>
      <w:r w:rsidR="001645DF">
        <w:t xml:space="preserve">Trump mostra bene come il regime di guerra si indirizzi contro i movimenti femministi, nella prospettiva di un violento riallineamento patriarcale dei rapporti tra i generi; contro i movimenti ecologisti, considerato che le energie fossili sono al centro della macchina militare statunitense che i Paesi europei sono chiamati ad alimentare; </w:t>
      </w:r>
      <w:r w:rsidR="00A910BC">
        <w:t xml:space="preserve">contro i migranti, sfruttati o deportati nei modi più violenti; contro i poveri, espulsi dai centri urbani. Si potrebbe continuare: ed è evidente come tutto questo abbia precise corrispondenze in Italia, in un Paese governato da un Trump in sedicesimo. </w:t>
      </w:r>
      <w:r w:rsidR="00A11E60">
        <w:t>Qui, come negli Stati Uniti</w:t>
      </w:r>
      <w:r w:rsidR="00B07E98">
        <w:t xml:space="preserve">, su ciascuno di questi terreni (e su molti altri), ci sono resistenze e lotte di fondamentale importanza. </w:t>
      </w:r>
      <w:r w:rsidR="003E5AED">
        <w:t>Ma la mobilitazione contro la guerra (e per fermare il genocidio a Gaza) può e deve essere un’occasione di convergenza, per moltiplicare la forza di queste resistenze e di queste lotte e per intervenire su una congiuntura mondiale che è già asfissiante per tutte e tutti noi. Si tratta di organizzare questa mobilitazione, con il necessario senso di urgenza.</w:t>
      </w:r>
    </w:p>
    <w:p w14:paraId="2CC57399" w14:textId="77777777" w:rsidR="007A48E5" w:rsidRDefault="007A48E5" w:rsidP="00F15BB7">
      <w:pPr>
        <w:spacing w:line="360" w:lineRule="auto"/>
      </w:pPr>
    </w:p>
    <w:p w14:paraId="5C828BA6" w14:textId="1514422B" w:rsidR="00F33545" w:rsidRDefault="007A48E5" w:rsidP="004E36BB">
      <w:pPr>
        <w:spacing w:line="360" w:lineRule="auto"/>
        <w:jc w:val="right"/>
      </w:pPr>
      <w:r>
        <w:t>Sandro Mezzadra</w:t>
      </w:r>
    </w:p>
    <w:p w14:paraId="4D7D8434" w14:textId="77777777" w:rsidR="00F33545" w:rsidRDefault="00F33545"/>
    <w:sectPr w:rsidR="00F33545" w:rsidSect="0062308F">
      <w:footerReference w:type="even" r:id="rId6"/>
      <w:footerReference w:type="default" r:id="rId7"/>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A2440A" w14:textId="77777777" w:rsidR="00FC38DA" w:rsidRDefault="00FC38DA" w:rsidP="00F15BB7">
      <w:r>
        <w:separator/>
      </w:r>
    </w:p>
  </w:endnote>
  <w:endnote w:type="continuationSeparator" w:id="0">
    <w:p w14:paraId="56BE833E" w14:textId="77777777" w:rsidR="00FC38DA" w:rsidRDefault="00FC38DA" w:rsidP="00F15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Aptos">
    <w:altName w:val="Arial"/>
    <w:charset w:val="00"/>
    <w:family w:val="swiss"/>
    <w:pitch w:val="variable"/>
    <w:sig w:usb0="20000287" w:usb1="00000003" w:usb2="00000000" w:usb3="00000000" w:csb0="0000019F" w:csb1="00000000"/>
  </w:font>
  <w:font w:name="Times New Roman (Corpo CS)">
    <w:altName w:val="Times New Roman"/>
    <w:panose1 w:val="00000000000000000000"/>
    <w:charset w:val="00"/>
    <w:family w:val="roman"/>
    <w:notTrueType/>
    <w:pitch w:val="default"/>
  </w:font>
  <w:font w:name="Aptos Display">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1794593354"/>
      <w:docPartObj>
        <w:docPartGallery w:val="Page Numbers (Bottom of Page)"/>
        <w:docPartUnique/>
      </w:docPartObj>
    </w:sdtPr>
    <w:sdtEndPr>
      <w:rPr>
        <w:rStyle w:val="Numeropagina"/>
      </w:rPr>
    </w:sdtEndPr>
    <w:sdtContent>
      <w:p w14:paraId="5BDB4DB6" w14:textId="6AC599E0" w:rsidR="00F15BB7" w:rsidRDefault="00F15BB7" w:rsidP="00EA0AAB">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E73644A" w14:textId="77777777" w:rsidR="00F15BB7" w:rsidRDefault="00F15BB7" w:rsidP="00F15BB7">
    <w:pPr>
      <w:pStyle w:val="Pidipa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1502348431"/>
      <w:docPartObj>
        <w:docPartGallery w:val="Page Numbers (Bottom of Page)"/>
        <w:docPartUnique/>
      </w:docPartObj>
    </w:sdtPr>
    <w:sdtEndPr>
      <w:rPr>
        <w:rStyle w:val="Numeropagina"/>
      </w:rPr>
    </w:sdtEndPr>
    <w:sdtContent>
      <w:p w14:paraId="0E573BD5" w14:textId="16E39B39" w:rsidR="00F15BB7" w:rsidRDefault="00F15BB7" w:rsidP="00EA0AAB">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6504B4">
          <w:rPr>
            <w:rStyle w:val="Numeropagina"/>
            <w:noProof/>
          </w:rPr>
          <w:t>3</w:t>
        </w:r>
        <w:r>
          <w:rPr>
            <w:rStyle w:val="Numeropagina"/>
          </w:rPr>
          <w:fldChar w:fldCharType="end"/>
        </w:r>
      </w:p>
    </w:sdtContent>
  </w:sdt>
  <w:p w14:paraId="25216CCA" w14:textId="77777777" w:rsidR="00F15BB7" w:rsidRDefault="00F15BB7" w:rsidP="00F15BB7">
    <w:pPr>
      <w:pStyle w:val="Pidipagin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11423B" w14:textId="77777777" w:rsidR="00FC38DA" w:rsidRDefault="00FC38DA" w:rsidP="00F15BB7">
      <w:r>
        <w:separator/>
      </w:r>
    </w:p>
  </w:footnote>
  <w:footnote w:type="continuationSeparator" w:id="0">
    <w:p w14:paraId="2C11C53C" w14:textId="77777777" w:rsidR="00FC38DA" w:rsidRDefault="00FC38DA" w:rsidP="00F15B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6B1"/>
    <w:rsid w:val="000268FA"/>
    <w:rsid w:val="0003408B"/>
    <w:rsid w:val="000415D4"/>
    <w:rsid w:val="00056DE9"/>
    <w:rsid w:val="00074935"/>
    <w:rsid w:val="000962C0"/>
    <w:rsid w:val="0012492D"/>
    <w:rsid w:val="001645DF"/>
    <w:rsid w:val="001777D1"/>
    <w:rsid w:val="00261C41"/>
    <w:rsid w:val="00285559"/>
    <w:rsid w:val="002C750F"/>
    <w:rsid w:val="003D55AA"/>
    <w:rsid w:val="003E5AED"/>
    <w:rsid w:val="00440856"/>
    <w:rsid w:val="00443F5F"/>
    <w:rsid w:val="00466077"/>
    <w:rsid w:val="004E36BB"/>
    <w:rsid w:val="00513640"/>
    <w:rsid w:val="00543E2C"/>
    <w:rsid w:val="0059563F"/>
    <w:rsid w:val="005962A5"/>
    <w:rsid w:val="005B60FC"/>
    <w:rsid w:val="0062308F"/>
    <w:rsid w:val="006504B4"/>
    <w:rsid w:val="006B73D2"/>
    <w:rsid w:val="006F220E"/>
    <w:rsid w:val="00725C93"/>
    <w:rsid w:val="007A1C03"/>
    <w:rsid w:val="007A48E5"/>
    <w:rsid w:val="00845DD0"/>
    <w:rsid w:val="008626E8"/>
    <w:rsid w:val="008F4078"/>
    <w:rsid w:val="0093795A"/>
    <w:rsid w:val="009B4BA5"/>
    <w:rsid w:val="00A11E60"/>
    <w:rsid w:val="00A75712"/>
    <w:rsid w:val="00A910BC"/>
    <w:rsid w:val="00AE7B8C"/>
    <w:rsid w:val="00B07E98"/>
    <w:rsid w:val="00B91876"/>
    <w:rsid w:val="00BE4D4E"/>
    <w:rsid w:val="00BE56B1"/>
    <w:rsid w:val="00CF3CEA"/>
    <w:rsid w:val="00D72855"/>
    <w:rsid w:val="00DF2BA0"/>
    <w:rsid w:val="00E4621D"/>
    <w:rsid w:val="00E561F7"/>
    <w:rsid w:val="00E60B0C"/>
    <w:rsid w:val="00EC2059"/>
    <w:rsid w:val="00F15BB7"/>
    <w:rsid w:val="00F33545"/>
    <w:rsid w:val="00F57353"/>
    <w:rsid w:val="00FB1F5F"/>
    <w:rsid w:val="00FC38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75784"/>
  <w15:chartTrackingRefBased/>
  <w15:docId w15:val="{A13BB6F0-68D6-8846-A63B-948D4F86A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heme="minorHAnsi" w:hAnsi="Cambria" w:cs="Times New Roman (Corpo CS)"/>
        <w:kern w:val="2"/>
        <w:sz w:val="24"/>
        <w:szCs w:val="24"/>
        <w:lang w:val="it-IT"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BE56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E56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E56B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E56B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E56B1"/>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BE56B1"/>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BE56B1"/>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BE56B1"/>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BE56B1"/>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E56B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E56B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E56B1"/>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E56B1"/>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BE56B1"/>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BE56B1"/>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BE56B1"/>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BE56B1"/>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BE56B1"/>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BE56B1"/>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E56B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E56B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E56B1"/>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E56B1"/>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E56B1"/>
    <w:rPr>
      <w:i/>
      <w:iCs/>
      <w:color w:val="404040" w:themeColor="text1" w:themeTint="BF"/>
    </w:rPr>
  </w:style>
  <w:style w:type="paragraph" w:styleId="Paragrafoelenco">
    <w:name w:val="List Paragraph"/>
    <w:basedOn w:val="Normale"/>
    <w:uiPriority w:val="34"/>
    <w:qFormat/>
    <w:rsid w:val="00BE56B1"/>
    <w:pPr>
      <w:ind w:left="720"/>
      <w:contextualSpacing/>
    </w:pPr>
  </w:style>
  <w:style w:type="character" w:styleId="Enfasiintensa">
    <w:name w:val="Intense Emphasis"/>
    <w:basedOn w:val="Carpredefinitoparagrafo"/>
    <w:uiPriority w:val="21"/>
    <w:qFormat/>
    <w:rsid w:val="00BE56B1"/>
    <w:rPr>
      <w:i/>
      <w:iCs/>
      <w:color w:val="0F4761" w:themeColor="accent1" w:themeShade="BF"/>
    </w:rPr>
  </w:style>
  <w:style w:type="paragraph" w:styleId="Citazioneintensa">
    <w:name w:val="Intense Quote"/>
    <w:basedOn w:val="Normale"/>
    <w:next w:val="Normale"/>
    <w:link w:val="CitazioneintensaCarattere"/>
    <w:uiPriority w:val="30"/>
    <w:qFormat/>
    <w:rsid w:val="00BE56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E56B1"/>
    <w:rPr>
      <w:i/>
      <w:iCs/>
      <w:color w:val="0F4761" w:themeColor="accent1" w:themeShade="BF"/>
    </w:rPr>
  </w:style>
  <w:style w:type="character" w:styleId="Riferimentointenso">
    <w:name w:val="Intense Reference"/>
    <w:basedOn w:val="Carpredefinitoparagrafo"/>
    <w:uiPriority w:val="32"/>
    <w:qFormat/>
    <w:rsid w:val="00BE56B1"/>
    <w:rPr>
      <w:b/>
      <w:bCs/>
      <w:smallCaps/>
      <w:color w:val="0F4761" w:themeColor="accent1" w:themeShade="BF"/>
      <w:spacing w:val="5"/>
    </w:rPr>
  </w:style>
  <w:style w:type="paragraph" w:styleId="Intestazione">
    <w:name w:val="header"/>
    <w:basedOn w:val="Normale"/>
    <w:link w:val="IntestazioneCarattere"/>
    <w:uiPriority w:val="99"/>
    <w:unhideWhenUsed/>
    <w:rsid w:val="00BE56B1"/>
    <w:pPr>
      <w:tabs>
        <w:tab w:val="center" w:pos="4819"/>
        <w:tab w:val="right" w:pos="9638"/>
      </w:tabs>
    </w:pPr>
  </w:style>
  <w:style w:type="character" w:customStyle="1" w:styleId="IntestazioneCarattere">
    <w:name w:val="Intestazione Carattere"/>
    <w:basedOn w:val="Carpredefinitoparagrafo"/>
    <w:link w:val="Intestazione"/>
    <w:uiPriority w:val="99"/>
    <w:rsid w:val="00BE56B1"/>
  </w:style>
  <w:style w:type="character" w:styleId="Collegamentoipertestuale">
    <w:name w:val="Hyperlink"/>
    <w:basedOn w:val="Carpredefinitoparagrafo"/>
    <w:uiPriority w:val="99"/>
    <w:unhideWhenUsed/>
    <w:rsid w:val="00F33545"/>
    <w:rPr>
      <w:color w:val="467886" w:themeColor="hyperlink"/>
      <w:u w:val="single"/>
    </w:rPr>
  </w:style>
  <w:style w:type="character" w:customStyle="1" w:styleId="UnresolvedMention">
    <w:name w:val="Unresolved Mention"/>
    <w:basedOn w:val="Carpredefinitoparagrafo"/>
    <w:uiPriority w:val="99"/>
    <w:semiHidden/>
    <w:unhideWhenUsed/>
    <w:rsid w:val="00F33545"/>
    <w:rPr>
      <w:color w:val="605E5C"/>
      <w:shd w:val="clear" w:color="auto" w:fill="E1DFDD"/>
    </w:rPr>
  </w:style>
  <w:style w:type="paragraph" w:styleId="Pidipagina">
    <w:name w:val="footer"/>
    <w:basedOn w:val="Normale"/>
    <w:link w:val="PidipaginaCarattere"/>
    <w:uiPriority w:val="99"/>
    <w:unhideWhenUsed/>
    <w:rsid w:val="00F15BB7"/>
    <w:pPr>
      <w:tabs>
        <w:tab w:val="center" w:pos="4819"/>
        <w:tab w:val="right" w:pos="9638"/>
      </w:tabs>
    </w:pPr>
  </w:style>
  <w:style w:type="character" w:customStyle="1" w:styleId="PidipaginaCarattere">
    <w:name w:val="Piè di pagina Carattere"/>
    <w:basedOn w:val="Carpredefinitoparagrafo"/>
    <w:link w:val="Pidipagina"/>
    <w:uiPriority w:val="99"/>
    <w:rsid w:val="00F15BB7"/>
  </w:style>
  <w:style w:type="character" w:styleId="Numeropagina">
    <w:name w:val="page number"/>
    <w:basedOn w:val="Carpredefinitoparagrafo"/>
    <w:uiPriority w:val="99"/>
    <w:semiHidden/>
    <w:unhideWhenUsed/>
    <w:rsid w:val="00F15B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1430</Words>
  <Characters>8155</Characters>
  <Application>Microsoft Office Word</Application>
  <DocSecurity>0</DocSecurity>
  <Lines>110</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Sandro Mezzadra</dc:creator>
  <cp:keywords/>
  <dc:description/>
  <cp:lastModifiedBy>Andrea</cp:lastModifiedBy>
  <cp:revision>2</cp:revision>
  <cp:lastPrinted>2025-08-12T15:58:00Z</cp:lastPrinted>
  <dcterms:created xsi:type="dcterms:W3CDTF">2025-08-14T10:58:00Z</dcterms:created>
  <dcterms:modified xsi:type="dcterms:W3CDTF">2025-08-14T10:58:00Z</dcterms:modified>
</cp:coreProperties>
</file>